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6E8A" w14:textId="0E78B52F" w:rsidR="00F77726" w:rsidRDefault="00F77726" w:rsidP="00F77726">
      <w:pPr>
        <w:pStyle w:val="Heading2"/>
      </w:pPr>
      <w:r>
        <w:t>Procurement Guidelines for Food/business meals</w:t>
      </w:r>
    </w:p>
    <w:p w14:paraId="2030A589" w14:textId="77777777" w:rsidR="00F77726" w:rsidRPr="00115735" w:rsidRDefault="00F77726" w:rsidP="00F77726">
      <w:pPr>
        <w:ind w:left="576"/>
      </w:pPr>
      <w:r w:rsidRPr="00115735">
        <w:t xml:space="preserve">Purchasers are responsible for ensuring all food purchases meet the requirements of policies and guidelines. Prior to </w:t>
      </w:r>
      <w:r>
        <w:t xml:space="preserve">the </w:t>
      </w:r>
      <w:r w:rsidRPr="00115735">
        <w:t xml:space="preserve">procurement, purchaser must confirm and document in writing how the food purchase complies with one of the policies and guidelines provided below. If purchased with </w:t>
      </w:r>
      <w:proofErr w:type="spellStart"/>
      <w:r w:rsidRPr="00115735">
        <w:t>Pcard</w:t>
      </w:r>
      <w:proofErr w:type="spellEnd"/>
      <w:r w:rsidRPr="00115735">
        <w:t>, the justification must be attached to the receipt. If processed in O</w:t>
      </w:r>
      <w:r>
        <w:t>K</w:t>
      </w:r>
      <w:r w:rsidRPr="00115735">
        <w:t xml:space="preserve"> Corral, the justification must be uploaded</w:t>
      </w:r>
      <w:r>
        <w:t xml:space="preserve"> to the requisition</w:t>
      </w:r>
      <w:r w:rsidRPr="00115735">
        <w:t>.</w:t>
      </w:r>
    </w:p>
    <w:p w14:paraId="33EC9085" w14:textId="77777777" w:rsidR="00F77726" w:rsidRPr="00115735" w:rsidRDefault="00F77726" w:rsidP="00F77726">
      <w:pPr>
        <w:ind w:left="576"/>
      </w:pPr>
      <w:r w:rsidRPr="00115735">
        <w:t>Food may only be purchased:</w:t>
      </w:r>
    </w:p>
    <w:p w14:paraId="15710E6B" w14:textId="77777777" w:rsidR="00F77726" w:rsidRDefault="00F77726" w:rsidP="00F77726">
      <w:pPr>
        <w:pStyle w:val="ListParagraph"/>
        <w:numPr>
          <w:ilvl w:val="0"/>
          <w:numId w:val="1"/>
        </w:numPr>
      </w:pPr>
      <w:r>
        <w:t>F</w:t>
      </w:r>
      <w:r w:rsidRPr="00115735">
        <w:t>or food service or food sales areas. This includes areas such as University Dining Services, Ranchers Club, etc.</w:t>
      </w:r>
    </w:p>
    <w:p w14:paraId="2D42D904" w14:textId="77777777" w:rsidR="00F77726" w:rsidRDefault="00F77726" w:rsidP="00F77726">
      <w:pPr>
        <w:pStyle w:val="ListParagraph"/>
        <w:numPr>
          <w:ilvl w:val="0"/>
          <w:numId w:val="1"/>
        </w:numPr>
      </w:pPr>
      <w:r w:rsidRPr="00115735">
        <w:t>When specifically included in a Ledger 5 grant or contract budget and approved by a sponsoring agency.</w:t>
      </w:r>
    </w:p>
    <w:p w14:paraId="788C467E" w14:textId="77777777" w:rsidR="00F77726" w:rsidRDefault="00F77726" w:rsidP="00F77726">
      <w:pPr>
        <w:pStyle w:val="ListParagraph"/>
        <w:numPr>
          <w:ilvl w:val="0"/>
          <w:numId w:val="1"/>
        </w:numPr>
      </w:pPr>
      <w:r w:rsidRPr="00115735">
        <w:t xml:space="preserve">When required for an instructional and/or research purpose. This would be for food used for study or presentation in a classroom or lab setting. This does </w:t>
      </w:r>
      <w:r w:rsidRPr="00794FFC">
        <w:rPr>
          <w:b/>
          <w:u w:val="single"/>
        </w:rPr>
        <w:t>not</w:t>
      </w:r>
      <w:r w:rsidRPr="00115735">
        <w:t xml:space="preserve"> include refreshments.</w:t>
      </w:r>
    </w:p>
    <w:p w14:paraId="38793A06" w14:textId="77777777" w:rsidR="00F77726" w:rsidRDefault="00F77726" w:rsidP="00F77726">
      <w:pPr>
        <w:pStyle w:val="ListParagraph"/>
        <w:numPr>
          <w:ilvl w:val="0"/>
          <w:numId w:val="1"/>
        </w:numPr>
      </w:pPr>
      <w:r w:rsidRPr="00115735">
        <w:t xml:space="preserve">When participants pay a </w:t>
      </w:r>
      <w:proofErr w:type="gramStart"/>
      <w:r w:rsidRPr="00115735">
        <w:t>fee</w:t>
      </w:r>
      <w:proofErr w:type="gramEnd"/>
      <w:r w:rsidRPr="00115735">
        <w:t xml:space="preserve"> </w:t>
      </w:r>
      <w:r w:rsidRPr="00794FFC">
        <w:rPr>
          <w:b/>
          <w:u w:val="single"/>
        </w:rPr>
        <w:t>and</w:t>
      </w:r>
      <w:r w:rsidRPr="00115735">
        <w:t xml:space="preserve"> the brochure/advertisement specifically indicates the fee will cover the food/meal. This would include events such as conferences where a department makes the arrangements, participants pay a fee, and food is provided. The event materials must indicate that a fee is required to </w:t>
      </w:r>
      <w:proofErr w:type="gramStart"/>
      <w:r w:rsidRPr="00115735">
        <w:t>participate</w:t>
      </w:r>
      <w:proofErr w:type="gramEnd"/>
      <w:r w:rsidRPr="00115735">
        <w:t xml:space="preserve"> and food will be provided.</w:t>
      </w:r>
    </w:p>
    <w:p w14:paraId="1DB3C189" w14:textId="77777777" w:rsidR="00F77726" w:rsidRDefault="00F77726" w:rsidP="00F77726">
      <w:pPr>
        <w:pStyle w:val="ListParagraph"/>
        <w:numPr>
          <w:ilvl w:val="0"/>
          <w:numId w:val="1"/>
        </w:numPr>
      </w:pPr>
      <w:r w:rsidRPr="00115735">
        <w:t xml:space="preserve">When all conditions of the Office of Management and Enterprise Service’s Policy on the </w:t>
      </w:r>
      <w:r>
        <w:t>“</w:t>
      </w:r>
      <w:r w:rsidRPr="00115735">
        <w:t>Payment for the Purchase of Refreshments</w:t>
      </w:r>
      <w:r>
        <w:t>”</w:t>
      </w:r>
      <w:r w:rsidRPr="00115735">
        <w:t xml:space="preserve"> are met.</w:t>
      </w:r>
      <w:r>
        <w:t xml:space="preserve"> </w:t>
      </w:r>
    </w:p>
    <w:p w14:paraId="141477F1" w14:textId="77777777" w:rsidR="00F77726" w:rsidRDefault="00F77726" w:rsidP="00F77726">
      <w:pPr>
        <w:ind w:left="576"/>
      </w:pPr>
    </w:p>
    <w:p w14:paraId="704A23DA" w14:textId="77777777" w:rsidR="00F77726" w:rsidRPr="00115735" w:rsidRDefault="00F77726" w:rsidP="00F77726">
      <w:pPr>
        <w:ind w:left="576"/>
      </w:pPr>
      <w:r>
        <w:t xml:space="preserve">Office of Management and Enterprise Services guidance is below: </w:t>
      </w:r>
      <w:r w:rsidRPr="00115735">
        <w:t xml:space="preserve"> </w:t>
      </w:r>
    </w:p>
    <w:p w14:paraId="4289B29A" w14:textId="77777777" w:rsidR="00F77726" w:rsidRPr="004E6E76" w:rsidRDefault="00F77726" w:rsidP="00F77726">
      <w:pPr>
        <w:ind w:left="576"/>
        <w:rPr>
          <w:i/>
          <w:iCs/>
          <w:sz w:val="18"/>
          <w:szCs w:val="18"/>
        </w:rPr>
      </w:pPr>
      <w:r w:rsidRPr="004E6E76">
        <w:rPr>
          <w:i/>
          <w:iCs/>
          <w:sz w:val="18"/>
          <w:szCs w:val="18"/>
          <w:u w:val="single"/>
        </w:rPr>
        <w:t>MEETING REFRESHMENTS – OMES Policy</w:t>
      </w:r>
      <w:r w:rsidRPr="004E6E76">
        <w:rPr>
          <w:i/>
          <w:iCs/>
          <w:sz w:val="18"/>
          <w:szCs w:val="18"/>
        </w:rPr>
        <w:t xml:space="preserve">:  Light food and drink items (e.g., doughnuts, cake, coffee, tea, soft drink, etc.) used as refreshments and required in connection with meetings or similar type activities </w:t>
      </w:r>
      <w:r w:rsidRPr="004E6E76">
        <w:rPr>
          <w:i/>
          <w:iCs/>
          <w:sz w:val="18"/>
          <w:szCs w:val="18"/>
          <w:u w:val="single"/>
        </w:rPr>
        <w:t>held/conducted for and </w:t>
      </w:r>
      <w:r w:rsidRPr="004E6E76">
        <w:rPr>
          <w:bCs/>
          <w:i/>
          <w:iCs/>
          <w:sz w:val="18"/>
          <w:szCs w:val="18"/>
          <w:u w:val="single"/>
        </w:rPr>
        <w:t>in the interest of the general public</w:t>
      </w:r>
      <w:r w:rsidRPr="004E6E76">
        <w:rPr>
          <w:bCs/>
          <w:i/>
          <w:iCs/>
          <w:sz w:val="18"/>
          <w:szCs w:val="18"/>
        </w:rPr>
        <w:t>.</w:t>
      </w:r>
      <w:r w:rsidRPr="004E6E76">
        <w:rPr>
          <w:i/>
          <w:iCs/>
          <w:sz w:val="18"/>
          <w:szCs w:val="18"/>
        </w:rPr>
        <w:t xml:space="preserve"> May also include related service items (e.g., disposable plates/flatware, stirrers, sweeteners, etc.).  </w:t>
      </w:r>
    </w:p>
    <w:p w14:paraId="7FCA78C0" w14:textId="77777777" w:rsidR="00F77726" w:rsidRPr="004E6E76" w:rsidRDefault="00F77726" w:rsidP="00F77726">
      <w:pPr>
        <w:ind w:left="576"/>
        <w:rPr>
          <w:bCs/>
          <w:i/>
          <w:iCs/>
          <w:sz w:val="18"/>
          <w:szCs w:val="18"/>
        </w:rPr>
      </w:pPr>
      <w:r w:rsidRPr="004E6E76">
        <w:rPr>
          <w:i/>
          <w:iCs/>
          <w:sz w:val="18"/>
          <w:szCs w:val="18"/>
        </w:rPr>
        <w:t xml:space="preserve">NOTE:  Meetings as used in this definition </w:t>
      </w:r>
      <w:r w:rsidRPr="004E6E76">
        <w:rPr>
          <w:bCs/>
          <w:i/>
          <w:iCs/>
          <w:sz w:val="18"/>
          <w:szCs w:val="18"/>
        </w:rPr>
        <w:t>do not include</w:t>
      </w:r>
      <w:r w:rsidRPr="004E6E76">
        <w:rPr>
          <w:i/>
          <w:iCs/>
          <w:sz w:val="18"/>
          <w:szCs w:val="18"/>
        </w:rPr>
        <w:t xml:space="preserve"> those activities and functions related to or associated with the day-to-day internal operations of an agency (e.g., staff meetings, staff retreats, </w:t>
      </w:r>
      <w:r w:rsidRPr="004E6E76">
        <w:rPr>
          <w:bCs/>
          <w:i/>
          <w:iCs/>
          <w:sz w:val="18"/>
          <w:szCs w:val="18"/>
        </w:rPr>
        <w:t>employee training sessions/seminars, etc</w:t>
      </w:r>
      <w:r w:rsidRPr="004E6E76">
        <w:rPr>
          <w:i/>
          <w:iCs/>
          <w:sz w:val="18"/>
          <w:szCs w:val="18"/>
        </w:rPr>
        <w:t>.).  Inappropriate purchases of coffee and other refreshments outside of the “Refreshment Policy” listed above could be considered purchase of gifts under prohibited acts.</w:t>
      </w:r>
      <w:r w:rsidRPr="004E6E76">
        <w:rPr>
          <w:bCs/>
          <w:i/>
          <w:iCs/>
          <w:sz w:val="18"/>
          <w:szCs w:val="18"/>
        </w:rPr>
        <w:t xml:space="preserve">  </w:t>
      </w:r>
    </w:p>
    <w:p w14:paraId="043D960D" w14:textId="77777777" w:rsidR="00F77726" w:rsidRPr="004E6E76" w:rsidRDefault="00F77726" w:rsidP="00F77726">
      <w:pPr>
        <w:ind w:left="576"/>
        <w:rPr>
          <w:b/>
          <w:bCs/>
          <w:i/>
          <w:iCs/>
          <w:sz w:val="18"/>
          <w:szCs w:val="18"/>
        </w:rPr>
      </w:pPr>
      <w:r w:rsidRPr="004E6E76">
        <w:rPr>
          <w:b/>
          <w:bCs/>
          <w:i/>
          <w:iCs/>
          <w:sz w:val="18"/>
          <w:szCs w:val="18"/>
        </w:rPr>
        <w:t>Clarification:</w:t>
      </w:r>
    </w:p>
    <w:p w14:paraId="49B22087" w14:textId="77777777" w:rsidR="00F77726" w:rsidRPr="004E6E76" w:rsidRDefault="00F77726" w:rsidP="00F77726">
      <w:pPr>
        <w:ind w:left="576"/>
        <w:rPr>
          <w:sz w:val="18"/>
          <w:szCs w:val="18"/>
        </w:rPr>
      </w:pPr>
      <w:r w:rsidRPr="004E6E76">
        <w:rPr>
          <w:sz w:val="18"/>
          <w:szCs w:val="18"/>
        </w:rPr>
        <w:t>The event must be open and of interest to the general public at large, and the event must be widely advertised.</w:t>
      </w:r>
    </w:p>
    <w:p w14:paraId="5196B089" w14:textId="77777777" w:rsidR="00F77726" w:rsidRPr="004E6E76" w:rsidRDefault="00F77726" w:rsidP="00F7772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4E6E76">
        <w:rPr>
          <w:sz w:val="18"/>
          <w:szCs w:val="18"/>
        </w:rPr>
        <w:t xml:space="preserve">This is intended for light refreshments such as donuts, cookies, or other finger food and maybe coffee or tea. </w:t>
      </w:r>
      <w:r w:rsidRPr="004E6E76">
        <w:rPr>
          <w:b/>
          <w:sz w:val="18"/>
          <w:szCs w:val="18"/>
          <w:u w:val="single"/>
        </w:rPr>
        <w:t>This does not include meals</w:t>
      </w:r>
      <w:r w:rsidRPr="004E6E76">
        <w:rPr>
          <w:b/>
          <w:sz w:val="18"/>
          <w:szCs w:val="18"/>
        </w:rPr>
        <w:t xml:space="preserve">.  </w:t>
      </w:r>
    </w:p>
    <w:p w14:paraId="1CFF5B47" w14:textId="77777777" w:rsidR="00F77726" w:rsidRPr="004E6E76" w:rsidRDefault="00F77726" w:rsidP="00F7772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4E6E76">
        <w:rPr>
          <w:sz w:val="18"/>
          <w:szCs w:val="18"/>
        </w:rPr>
        <w:t xml:space="preserve">The event must be widely advertised to the general public at large and not to a specific or targeted group of people. This would include advertising on </w:t>
      </w:r>
      <w:r w:rsidRPr="004E6E76">
        <w:rPr>
          <w:sz w:val="18"/>
          <w:szCs w:val="18"/>
          <w:u w:val="single"/>
        </w:rPr>
        <w:t>and</w:t>
      </w:r>
      <w:r w:rsidRPr="004E6E76">
        <w:rPr>
          <w:sz w:val="18"/>
          <w:szCs w:val="18"/>
        </w:rPr>
        <w:t xml:space="preserve"> off campus.</w:t>
      </w:r>
    </w:p>
    <w:p w14:paraId="0B5D6EAA" w14:textId="77777777" w:rsidR="00F77726" w:rsidRPr="004E6E76" w:rsidRDefault="00F77726" w:rsidP="00F7772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4E6E76">
        <w:rPr>
          <w:sz w:val="18"/>
          <w:szCs w:val="18"/>
        </w:rPr>
        <w:t>Must be of interest to the general public.</w:t>
      </w:r>
    </w:p>
    <w:p w14:paraId="1A6B2842" w14:textId="77777777" w:rsidR="00F77726" w:rsidRPr="004E6E76" w:rsidRDefault="00F77726" w:rsidP="00F7772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4E6E76">
        <w:rPr>
          <w:sz w:val="18"/>
          <w:szCs w:val="18"/>
          <w:u w:val="single"/>
        </w:rPr>
        <w:t>Example 1</w:t>
      </w:r>
      <w:r w:rsidRPr="004E6E76">
        <w:rPr>
          <w:sz w:val="18"/>
          <w:szCs w:val="18"/>
        </w:rPr>
        <w:t>:  The Veterinary School’s Annual Open House. The college would advertise the services they provide. People come to campus, tour the facility, and may be offered cookies and punch.</w:t>
      </w:r>
    </w:p>
    <w:p w14:paraId="1BF41DCE" w14:textId="77777777" w:rsidR="00F77726" w:rsidRPr="004E6E76" w:rsidRDefault="00F77726" w:rsidP="00F77726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4E6E76">
        <w:rPr>
          <w:sz w:val="18"/>
          <w:szCs w:val="18"/>
          <w:u w:val="single"/>
        </w:rPr>
        <w:t>Example 2</w:t>
      </w:r>
      <w:r w:rsidRPr="004E6E76">
        <w:rPr>
          <w:sz w:val="18"/>
          <w:szCs w:val="18"/>
        </w:rPr>
        <w:t>:  The OSU Art Museum may host an art show. The department would advertise in the newspapers and across campus. People from all around could view the art and be offered a fruit tray with coffee.</w:t>
      </w:r>
    </w:p>
    <w:p w14:paraId="7F2839A7" w14:textId="77777777" w:rsidR="00F77726" w:rsidRDefault="00F77726" w:rsidP="00F77726">
      <w:pPr>
        <w:ind w:left="576"/>
      </w:pPr>
    </w:p>
    <w:p w14:paraId="4538C95B" w14:textId="77777777" w:rsidR="00F77726" w:rsidRDefault="00F77726" w:rsidP="00F77726">
      <w:pPr>
        <w:ind w:left="576"/>
      </w:pPr>
      <w:r w:rsidRPr="00115735">
        <w:t>When a</w:t>
      </w:r>
      <w:r>
        <w:t>n A&amp;M System</w:t>
      </w:r>
      <w:r w:rsidRPr="00115735">
        <w:t xml:space="preserve"> cardholder makes a food purchase based on this requirement, the written documentation must show how the event was advertised.</w:t>
      </w:r>
    </w:p>
    <w:p w14:paraId="374537D5" w14:textId="77777777" w:rsidR="00DD12B0" w:rsidRDefault="00DD12B0" w:rsidP="007C37F2">
      <w:pPr>
        <w:jc w:val="center"/>
      </w:pPr>
    </w:p>
    <w:p w14:paraId="757BC5E9" w14:textId="77777777" w:rsidR="007C37F2" w:rsidRPr="006A4930" w:rsidRDefault="007C37F2" w:rsidP="007C37F2">
      <w:pPr>
        <w:jc w:val="center"/>
        <w:rPr>
          <w:b/>
          <w:sz w:val="32"/>
        </w:rPr>
      </w:pPr>
      <w:r w:rsidRPr="006A4930">
        <w:rPr>
          <w:b/>
          <w:sz w:val="32"/>
        </w:rPr>
        <w:lastRenderedPageBreak/>
        <w:t>Food Request Form</w:t>
      </w:r>
    </w:p>
    <w:p w14:paraId="089B5203" w14:textId="77777777" w:rsidR="009302E3" w:rsidRDefault="007C37F2" w:rsidP="007C37F2">
      <w:pPr>
        <w:rPr>
          <w:sz w:val="24"/>
        </w:rPr>
      </w:pPr>
      <w:r w:rsidRPr="007C37F2">
        <w:rPr>
          <w:sz w:val="24"/>
        </w:rPr>
        <w:t xml:space="preserve">Due to the stringent requirements related to the purchase of food with state funds, this form must be completed and approved </w:t>
      </w:r>
      <w:r w:rsidRPr="009302E3">
        <w:rPr>
          <w:b/>
          <w:bCs/>
          <w:sz w:val="24"/>
          <w:u w:val="single"/>
        </w:rPr>
        <w:t>before</w:t>
      </w:r>
      <w:r w:rsidRPr="007C37F2">
        <w:rPr>
          <w:sz w:val="24"/>
        </w:rPr>
        <w:t xml:space="preserve"> committing to any purchase of food or refreshments. </w:t>
      </w:r>
    </w:p>
    <w:p w14:paraId="7BE5B50C" w14:textId="77777777" w:rsidR="009302E3" w:rsidRPr="009302E3" w:rsidRDefault="007C37F2" w:rsidP="009302E3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 w:rsidRPr="009302E3">
        <w:rPr>
          <w:color w:val="FF0000"/>
          <w:sz w:val="24"/>
        </w:rPr>
        <w:t>Please upload and attach this form to your requisition</w:t>
      </w:r>
      <w:r w:rsidRPr="009302E3">
        <w:rPr>
          <w:color w:val="FF0000"/>
          <w:sz w:val="28"/>
          <w:szCs w:val="24"/>
        </w:rPr>
        <w:t>.</w:t>
      </w:r>
      <w:r w:rsidR="00F77726" w:rsidRPr="009302E3">
        <w:rPr>
          <w:color w:val="FF0000"/>
          <w:sz w:val="24"/>
          <w:szCs w:val="24"/>
        </w:rPr>
        <w:t xml:space="preserve"> </w:t>
      </w:r>
    </w:p>
    <w:p w14:paraId="63D0EBDB" w14:textId="43B3207B" w:rsidR="00F77726" w:rsidRDefault="009302E3" w:rsidP="009302E3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 w:rsidRPr="009302E3">
        <w:rPr>
          <w:color w:val="FF0000"/>
          <w:sz w:val="24"/>
          <w:szCs w:val="24"/>
        </w:rPr>
        <w:t xml:space="preserve">Check the </w:t>
      </w:r>
      <w:r w:rsidRPr="009302E3">
        <w:rPr>
          <w:b/>
          <w:bCs/>
          <w:color w:val="FF0000"/>
          <w:sz w:val="24"/>
          <w:szCs w:val="24"/>
          <w:u w:val="single"/>
        </w:rPr>
        <w:t xml:space="preserve">Contract for Signature Attached </w:t>
      </w:r>
      <w:r w:rsidRPr="009302E3">
        <w:rPr>
          <w:color w:val="FF0000"/>
          <w:sz w:val="24"/>
          <w:szCs w:val="24"/>
        </w:rPr>
        <w:t>box to ensure the requisition routes to Purchasing for review.</w:t>
      </w:r>
      <w:r>
        <w:rPr>
          <w:color w:val="FF0000"/>
          <w:sz w:val="24"/>
          <w:szCs w:val="24"/>
        </w:rPr>
        <w:t xml:space="preserve"> Requests are not approved until </w:t>
      </w:r>
      <w:proofErr w:type="gramStart"/>
      <w:r>
        <w:rPr>
          <w:color w:val="FF0000"/>
          <w:sz w:val="24"/>
          <w:szCs w:val="24"/>
        </w:rPr>
        <w:t>Purchasing</w:t>
      </w:r>
      <w:proofErr w:type="gramEnd"/>
      <w:r>
        <w:rPr>
          <w:color w:val="FF0000"/>
          <w:sz w:val="24"/>
          <w:szCs w:val="24"/>
        </w:rPr>
        <w:t xml:space="preserve"> reviews and approves.</w:t>
      </w:r>
    </w:p>
    <w:p w14:paraId="00A8C0FB" w14:textId="77777777" w:rsidR="009302E3" w:rsidRPr="009302E3" w:rsidRDefault="009302E3" w:rsidP="009302E3">
      <w:pPr>
        <w:pStyle w:val="ListParagraph"/>
        <w:ind w:left="720"/>
        <w:rPr>
          <w:color w:val="FF0000"/>
          <w:sz w:val="24"/>
          <w:szCs w:val="24"/>
        </w:rPr>
      </w:pPr>
    </w:p>
    <w:p w14:paraId="28646C30" w14:textId="730361EE" w:rsidR="007C37F2" w:rsidRPr="00F77726" w:rsidRDefault="00F77726" w:rsidP="007C37F2">
      <w:pPr>
        <w:rPr>
          <w:b/>
          <w:bCs/>
          <w:i/>
          <w:iCs/>
          <w:sz w:val="24"/>
        </w:rPr>
      </w:pPr>
      <w:r w:rsidRPr="00F77726">
        <w:rPr>
          <w:b/>
          <w:bCs/>
          <w:i/>
          <w:iCs/>
          <w:sz w:val="24"/>
        </w:rPr>
        <w:t>NOTE:</w:t>
      </w:r>
      <w:r w:rsidRPr="00F77726">
        <w:rPr>
          <w:b/>
          <w:bCs/>
          <w:i/>
          <w:iCs/>
          <w:sz w:val="24"/>
        </w:rPr>
        <w:tab/>
        <w:t>This form is an internal document used by the OSU-Tulsa and OSU Center for Health Sciences campuses only.</w:t>
      </w:r>
    </w:p>
    <w:tbl>
      <w:tblPr>
        <w:tblStyle w:val="TableGrid"/>
        <w:tblW w:w="10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1735"/>
        <w:gridCol w:w="180"/>
        <w:gridCol w:w="810"/>
        <w:gridCol w:w="3780"/>
        <w:gridCol w:w="18"/>
        <w:gridCol w:w="511"/>
      </w:tblGrid>
      <w:tr w:rsidR="007C37F2" w14:paraId="0BFF883F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2F9740AF" w14:textId="27426FD9" w:rsidR="007C37F2" w:rsidRDefault="00F77726" w:rsidP="00D8646C">
            <w:pPr>
              <w:rPr>
                <w:sz w:val="24"/>
              </w:rPr>
            </w:pPr>
            <w:r>
              <w:rPr>
                <w:sz w:val="24"/>
              </w:rPr>
              <w:t>Fund</w:t>
            </w:r>
            <w:r w:rsidR="007C37F2">
              <w:rPr>
                <w:sz w:val="24"/>
              </w:rPr>
              <w:t xml:space="preserve"> Number(s):</w:t>
            </w:r>
          </w:p>
        </w:tc>
        <w:tc>
          <w:tcPr>
            <w:tcW w:w="7034" w:type="dxa"/>
            <w:gridSpan w:val="6"/>
            <w:tcBorders>
              <w:bottom w:val="single" w:sz="4" w:space="0" w:color="auto"/>
            </w:tcBorders>
            <w:vAlign w:val="center"/>
          </w:tcPr>
          <w:p w14:paraId="58994BD8" w14:textId="77777777" w:rsidR="007C37F2" w:rsidRDefault="007C37F2" w:rsidP="00B767E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7C37F2" w14:paraId="1ADC15F9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651A8624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Anticipated Cost: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90831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011281DF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0843A097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Requisition Number: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7E00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13620D29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E0D0082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Requesting Dept: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536C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6F66057B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39F96D7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91BF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F77726" w14:paraId="1749451D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587DBB13" w14:textId="5837871C" w:rsidR="00F77726" w:rsidRDefault="00F77726" w:rsidP="00D8646C">
            <w:pPr>
              <w:rPr>
                <w:sz w:val="24"/>
              </w:rPr>
            </w:pPr>
            <w:r>
              <w:rPr>
                <w:sz w:val="24"/>
              </w:rPr>
              <w:t>Function Type</w:t>
            </w:r>
            <w:r w:rsidR="00302968">
              <w:rPr>
                <w:sz w:val="24"/>
              </w:rPr>
              <w:t xml:space="preserve"> (Check one)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EA33D" w14:textId="2A64D51C" w:rsidR="00F77726" w:rsidRPr="00302968" w:rsidRDefault="002B2983" w:rsidP="003029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sdt>
              <w:sdtPr>
                <w:rPr>
                  <w:sz w:val="24"/>
                </w:rPr>
                <w:id w:val="19630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2968" w:rsidRPr="00302968">
              <w:rPr>
                <w:sz w:val="24"/>
              </w:rPr>
              <w:t xml:space="preserve"> Food Service or Food Sales Area </w:t>
            </w:r>
            <w:r w:rsidR="009302E3">
              <w:rPr>
                <w:sz w:val="24"/>
              </w:rPr>
              <w:t>(items for resell)</w:t>
            </w:r>
          </w:p>
        </w:tc>
      </w:tr>
      <w:tr w:rsidR="00302968" w14:paraId="05D5D3F8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0A798971" w14:textId="77777777" w:rsidR="00302968" w:rsidRDefault="00302968" w:rsidP="00D8646C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A69B2" w14:textId="3726D276" w:rsidR="00302968" w:rsidRPr="00302968" w:rsidRDefault="002B2983" w:rsidP="003029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sdt>
              <w:sdtPr>
                <w:rPr>
                  <w:sz w:val="24"/>
                </w:rPr>
                <w:id w:val="-11460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68" w:rsidRPr="0030296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302968" w:rsidRPr="00302968">
              <w:rPr>
                <w:sz w:val="24"/>
              </w:rPr>
              <w:t xml:space="preserve"> </w:t>
            </w:r>
            <w:r w:rsidR="00302968">
              <w:rPr>
                <w:sz w:val="24"/>
              </w:rPr>
              <w:t>When s</w:t>
            </w:r>
            <w:r w:rsidR="00302968" w:rsidRPr="00302968">
              <w:rPr>
                <w:sz w:val="24"/>
              </w:rPr>
              <w:t>pecifically included in a Ledger 5 grant or contract budget and approved by a sponsoring agency</w:t>
            </w:r>
            <w:r w:rsidR="00302968">
              <w:rPr>
                <w:sz w:val="24"/>
              </w:rPr>
              <w:t xml:space="preserve"> </w:t>
            </w:r>
          </w:p>
        </w:tc>
      </w:tr>
      <w:tr w:rsidR="00302968" w14:paraId="723E69EF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70E0D67" w14:textId="77777777" w:rsidR="00302968" w:rsidRDefault="00302968" w:rsidP="00D8646C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4F7AD" w14:textId="62DE2609" w:rsidR="00302968" w:rsidRPr="00302968" w:rsidRDefault="002B2983" w:rsidP="003029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sdt>
              <w:sdtPr>
                <w:rPr>
                  <w:sz w:val="24"/>
                </w:rPr>
                <w:id w:val="7586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68" w:rsidRPr="0030296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302968" w:rsidRPr="00302968">
              <w:rPr>
                <w:sz w:val="24"/>
              </w:rPr>
              <w:t xml:space="preserve"> When required for an instructional and/or research purpose. This would be for food used for study or presentation in a classroom or lab setting. This does not include refreshments.</w:t>
            </w:r>
            <w:r w:rsidR="00302968">
              <w:rPr>
                <w:sz w:val="24"/>
              </w:rPr>
              <w:t xml:space="preserve"> </w:t>
            </w:r>
          </w:p>
        </w:tc>
      </w:tr>
      <w:tr w:rsidR="00302968" w14:paraId="2A80DFC5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1EAEC485" w14:textId="77777777" w:rsidR="00302968" w:rsidRDefault="00302968" w:rsidP="00D8646C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5E78D" w14:textId="55F7E12D" w:rsidR="00302968" w:rsidRPr="00302968" w:rsidRDefault="002B2983" w:rsidP="0030296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sdt>
              <w:sdtPr>
                <w:rPr>
                  <w:sz w:val="24"/>
                </w:rPr>
                <w:id w:val="-15693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68" w:rsidRPr="0030296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302968" w:rsidRPr="00302968">
              <w:rPr>
                <w:sz w:val="24"/>
              </w:rPr>
              <w:t xml:space="preserve"> </w:t>
            </w:r>
            <w:r w:rsidR="00302968">
              <w:rPr>
                <w:sz w:val="24"/>
              </w:rPr>
              <w:t xml:space="preserve">When </w:t>
            </w:r>
            <w:r w:rsidR="00302968" w:rsidRPr="00302968">
              <w:rPr>
                <w:sz w:val="24"/>
              </w:rPr>
              <w:t xml:space="preserve">participants pay a </w:t>
            </w:r>
            <w:proofErr w:type="gramStart"/>
            <w:r w:rsidR="00302968" w:rsidRPr="00302968">
              <w:rPr>
                <w:sz w:val="24"/>
              </w:rPr>
              <w:t>fee</w:t>
            </w:r>
            <w:proofErr w:type="gramEnd"/>
            <w:r w:rsidR="00302968" w:rsidRPr="00302968">
              <w:rPr>
                <w:sz w:val="24"/>
              </w:rPr>
              <w:t xml:space="preserve"> and the brochure/advertisement specifically indicates the fee will cover the food/meal. This would include events such as conferences where a department makes the arrangements, participants pay a fee, and food is provided. The event materials must indicate that a fee is required to </w:t>
            </w:r>
            <w:proofErr w:type="gramStart"/>
            <w:r w:rsidR="00302968" w:rsidRPr="00302968">
              <w:rPr>
                <w:sz w:val="24"/>
              </w:rPr>
              <w:t>participate</w:t>
            </w:r>
            <w:proofErr w:type="gramEnd"/>
            <w:r w:rsidR="00302968" w:rsidRPr="00302968">
              <w:rPr>
                <w:sz w:val="24"/>
              </w:rPr>
              <w:t xml:space="preserve"> and food will be provided.</w:t>
            </w:r>
            <w:r w:rsidR="00302968">
              <w:rPr>
                <w:sz w:val="24"/>
              </w:rPr>
              <w:t xml:space="preserve"> </w:t>
            </w:r>
          </w:p>
        </w:tc>
      </w:tr>
      <w:tr w:rsidR="00302968" w14:paraId="4B77705E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E2C5DC8" w14:textId="77777777" w:rsidR="00302968" w:rsidRDefault="00302968" w:rsidP="00D8646C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6A9A8" w14:textId="6D8B3E73" w:rsidR="00BE6206" w:rsidRPr="00BE6206" w:rsidRDefault="002B2983" w:rsidP="00BE6206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sdt>
              <w:sdtPr>
                <w:rPr>
                  <w:sz w:val="24"/>
                </w:rPr>
                <w:id w:val="15238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68" w:rsidRPr="00302968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302968" w:rsidRPr="00302968">
              <w:rPr>
                <w:sz w:val="24"/>
              </w:rPr>
              <w:t xml:space="preserve"> When all conditions of the Office of Management and Enterprise Service’s Policy on the “Payment for the Purchase of Refreshments” are met. </w:t>
            </w:r>
            <w:r w:rsidR="00302968">
              <w:rPr>
                <w:sz w:val="24"/>
              </w:rPr>
              <w:t>E</w:t>
            </w:r>
            <w:r w:rsidR="00302968" w:rsidRPr="00302968">
              <w:rPr>
                <w:sz w:val="24"/>
              </w:rPr>
              <w:t>vent must be open and of interest to the general public at large, and the event must be widely advertised.</w:t>
            </w:r>
            <w:r w:rsidR="009302E3">
              <w:rPr>
                <w:sz w:val="24"/>
              </w:rPr>
              <w:t xml:space="preserve"> Light </w:t>
            </w:r>
            <w:proofErr w:type="gramStart"/>
            <w:r w:rsidR="009302E3">
              <w:rPr>
                <w:sz w:val="24"/>
              </w:rPr>
              <w:t>refreshments;</w:t>
            </w:r>
            <w:proofErr w:type="gramEnd"/>
            <w:r w:rsidR="009302E3">
              <w:rPr>
                <w:sz w:val="24"/>
              </w:rPr>
              <w:t xml:space="preserve"> this does not include meals.</w:t>
            </w:r>
          </w:p>
        </w:tc>
      </w:tr>
      <w:tr w:rsidR="00BE6206" w14:paraId="0712C51A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282F43A" w14:textId="77777777" w:rsidR="00BE6206" w:rsidRDefault="00BE6206" w:rsidP="00D8646C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2C5C" w14:textId="0ADE2E22" w:rsidR="00BE6206" w:rsidRPr="00302968" w:rsidRDefault="002B2983" w:rsidP="00BE6206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sdt>
              <w:sdtPr>
                <w:rPr>
                  <w:sz w:val="24"/>
                </w:rPr>
                <w:id w:val="11717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2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E6206" w:rsidRPr="00BE6206">
              <w:rPr>
                <w:sz w:val="24"/>
              </w:rPr>
              <w:t xml:space="preserve"> If the food purchase does not meet any of the requirements/conditions</w:t>
            </w:r>
            <w:r w:rsidR="00BE6206">
              <w:rPr>
                <w:sz w:val="24"/>
              </w:rPr>
              <w:t xml:space="preserve"> listed</w:t>
            </w:r>
            <w:r w:rsidR="00BE6206" w:rsidRPr="00BE6206">
              <w:rPr>
                <w:sz w:val="24"/>
              </w:rPr>
              <w:t xml:space="preserve">, </w:t>
            </w:r>
            <w:r w:rsidR="00BE6206" w:rsidRPr="00BE6206">
              <w:rPr>
                <w:b/>
                <w:bCs/>
                <w:sz w:val="24"/>
                <w:u w:val="single"/>
              </w:rPr>
              <w:t>a letter of approval from the Vice President or Dean must be attached.</w:t>
            </w:r>
          </w:p>
        </w:tc>
      </w:tr>
      <w:tr w:rsidR="007C37F2" w14:paraId="0C32B7C9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1E119FB1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Function Name: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0ACA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088B102B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10C149AD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Function Date: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43967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542CA359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59F7FCBD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Function Location: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C491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08A4E19C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4F8381C5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Function Purpose: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46C0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2EEFACD0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86FD772" w14:textId="77777777" w:rsidR="007C37F2" w:rsidRDefault="007C37F2" w:rsidP="00D8646C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FC9C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6AABFE9C" w14:textId="77777777" w:rsidTr="00B767E0">
        <w:trPr>
          <w:trHeight w:val="432"/>
        </w:trPr>
        <w:tc>
          <w:tcPr>
            <w:tcW w:w="3053" w:type="dxa"/>
            <w:vAlign w:val="bottom"/>
          </w:tcPr>
          <w:p w14:paraId="3BC56D9F" w14:textId="77777777" w:rsidR="007C37F2" w:rsidRDefault="007C37F2" w:rsidP="00D8646C">
            <w:pPr>
              <w:rPr>
                <w:sz w:val="24"/>
              </w:rPr>
            </w:pPr>
            <w:r>
              <w:rPr>
                <w:sz w:val="24"/>
              </w:rPr>
              <w:t>Attendees: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B403C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2FC96610" w14:textId="77777777" w:rsidTr="00B767E0">
        <w:trPr>
          <w:trHeight w:val="432"/>
        </w:trPr>
        <w:tc>
          <w:tcPr>
            <w:tcW w:w="3053" w:type="dxa"/>
          </w:tcPr>
          <w:p w14:paraId="63538514" w14:textId="77777777" w:rsidR="007C37F2" w:rsidRPr="007C37F2" w:rsidRDefault="007C37F2" w:rsidP="007C37F2">
            <w:pPr>
              <w:rPr>
                <w:i/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4B60" w14:textId="77777777" w:rsidR="007C37F2" w:rsidRDefault="007C37F2" w:rsidP="00B767E0">
            <w:r w:rsidRPr="001E2665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665">
              <w:rPr>
                <w:sz w:val="24"/>
              </w:rPr>
              <w:instrText xml:space="preserve"> FORMTEXT </w:instrText>
            </w:r>
            <w:r w:rsidRPr="001E2665">
              <w:rPr>
                <w:sz w:val="24"/>
              </w:rPr>
            </w:r>
            <w:r w:rsidRPr="001E2665">
              <w:rPr>
                <w:sz w:val="24"/>
              </w:rPr>
              <w:fldChar w:fldCharType="separate"/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noProof/>
                <w:sz w:val="24"/>
              </w:rPr>
              <w:t> </w:t>
            </w:r>
            <w:r w:rsidRPr="001E2665">
              <w:rPr>
                <w:sz w:val="24"/>
              </w:rPr>
              <w:fldChar w:fldCharType="end"/>
            </w:r>
          </w:p>
        </w:tc>
      </w:tr>
      <w:tr w:rsidR="007C37F2" w14:paraId="00721394" w14:textId="77777777" w:rsidTr="00102D92">
        <w:trPr>
          <w:trHeight w:val="432"/>
        </w:trPr>
        <w:tc>
          <w:tcPr>
            <w:tcW w:w="3053" w:type="dxa"/>
          </w:tcPr>
          <w:p w14:paraId="5C5D3287" w14:textId="77777777" w:rsidR="007C37F2" w:rsidRDefault="007C37F2" w:rsidP="007C37F2">
            <w:pPr>
              <w:rPr>
                <w:sz w:val="24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</w:tcBorders>
          </w:tcPr>
          <w:p w14:paraId="7E684027" w14:textId="77777777" w:rsidR="007C37F2" w:rsidRDefault="007C37F2" w:rsidP="007C37F2">
            <w:pPr>
              <w:rPr>
                <w:sz w:val="24"/>
              </w:rPr>
            </w:pPr>
            <w:r w:rsidRPr="007C37F2">
              <w:rPr>
                <w:i/>
                <w:sz w:val="24"/>
              </w:rPr>
              <w:t>i.e., (2) students, (8) Prospective Students, (3) Faculty, (1) Staff, &amp; (200) General Public</w:t>
            </w:r>
          </w:p>
        </w:tc>
      </w:tr>
      <w:tr w:rsidR="007C37F2" w14:paraId="20F155DF" w14:textId="77777777" w:rsidTr="00102D92">
        <w:trPr>
          <w:gridAfter w:val="1"/>
          <w:wAfter w:w="511" w:type="dxa"/>
          <w:trHeight w:val="432"/>
        </w:trPr>
        <w:tc>
          <w:tcPr>
            <w:tcW w:w="4788" w:type="dxa"/>
            <w:gridSpan w:val="2"/>
          </w:tcPr>
          <w:p w14:paraId="3365CE89" w14:textId="77777777" w:rsidR="007C37F2" w:rsidRDefault="007C37F2" w:rsidP="007C37F2">
            <w:pPr>
              <w:rPr>
                <w:sz w:val="24"/>
              </w:rPr>
            </w:pPr>
          </w:p>
        </w:tc>
        <w:tc>
          <w:tcPr>
            <w:tcW w:w="4788" w:type="dxa"/>
            <w:gridSpan w:val="4"/>
          </w:tcPr>
          <w:p w14:paraId="63B13955" w14:textId="77777777" w:rsidR="007C37F2" w:rsidRDefault="007C37F2" w:rsidP="007C37F2">
            <w:pPr>
              <w:rPr>
                <w:sz w:val="24"/>
              </w:rPr>
            </w:pPr>
          </w:p>
        </w:tc>
      </w:tr>
      <w:tr w:rsidR="009C0FAB" w14:paraId="71924E84" w14:textId="77777777" w:rsidTr="00102D92">
        <w:trPr>
          <w:gridAfter w:val="2"/>
          <w:wAfter w:w="529" w:type="dxa"/>
          <w:trHeight w:val="432"/>
        </w:trPr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14:paraId="65782207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810" w:type="dxa"/>
          </w:tcPr>
          <w:p w14:paraId="4CBE5476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CBB1E9D" w14:textId="77777777" w:rsidR="009C0FAB" w:rsidRDefault="009C0FAB" w:rsidP="007C37F2">
            <w:pPr>
              <w:rPr>
                <w:sz w:val="24"/>
              </w:rPr>
            </w:pPr>
          </w:p>
        </w:tc>
      </w:tr>
      <w:tr w:rsidR="009C0FAB" w14:paraId="235A1B36" w14:textId="77777777" w:rsidTr="00102D92">
        <w:trPr>
          <w:gridAfter w:val="2"/>
          <w:wAfter w:w="529" w:type="dxa"/>
          <w:trHeight w:val="323"/>
        </w:trPr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14:paraId="14DB03DC" w14:textId="77777777" w:rsidR="009C0FAB" w:rsidRDefault="009C0FAB" w:rsidP="007C37F2">
            <w:pPr>
              <w:rPr>
                <w:sz w:val="24"/>
              </w:rPr>
            </w:pPr>
            <w:r>
              <w:rPr>
                <w:sz w:val="24"/>
              </w:rPr>
              <w:t>Department Head</w:t>
            </w:r>
          </w:p>
        </w:tc>
        <w:tc>
          <w:tcPr>
            <w:tcW w:w="810" w:type="dxa"/>
          </w:tcPr>
          <w:p w14:paraId="312FC399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06F92A9" w14:textId="77777777" w:rsidR="009C0FAB" w:rsidRDefault="009C0FAB" w:rsidP="007C37F2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C0FAB" w14:paraId="3FB9E6D4" w14:textId="77777777" w:rsidTr="00102D92">
        <w:trPr>
          <w:gridAfter w:val="2"/>
          <w:wAfter w:w="529" w:type="dxa"/>
          <w:trHeight w:val="432"/>
        </w:trPr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14:paraId="52D2BAD6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810" w:type="dxa"/>
          </w:tcPr>
          <w:p w14:paraId="795683DF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70E03F1" w14:textId="77777777" w:rsidR="009C0FAB" w:rsidRDefault="009C0FAB" w:rsidP="007C37F2">
            <w:pPr>
              <w:rPr>
                <w:sz w:val="24"/>
              </w:rPr>
            </w:pPr>
          </w:p>
        </w:tc>
      </w:tr>
      <w:tr w:rsidR="009C0FAB" w14:paraId="35C81782" w14:textId="77777777" w:rsidTr="00102D92">
        <w:trPr>
          <w:gridAfter w:val="2"/>
          <w:wAfter w:w="529" w:type="dxa"/>
          <w:trHeight w:val="278"/>
        </w:trPr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14:paraId="59D92848" w14:textId="77777777" w:rsidR="009C0FAB" w:rsidRDefault="009C0FAB" w:rsidP="007C37F2">
            <w:pPr>
              <w:rPr>
                <w:sz w:val="24"/>
              </w:rPr>
            </w:pPr>
            <w:r>
              <w:rPr>
                <w:sz w:val="24"/>
              </w:rPr>
              <w:t>Vice President</w:t>
            </w:r>
          </w:p>
        </w:tc>
        <w:tc>
          <w:tcPr>
            <w:tcW w:w="810" w:type="dxa"/>
          </w:tcPr>
          <w:p w14:paraId="7AEB471E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F14387E" w14:textId="77777777" w:rsidR="009C0FAB" w:rsidRDefault="009C0FAB" w:rsidP="007C37F2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9C0FAB" w14:paraId="5B5C3C0F" w14:textId="77777777" w:rsidTr="00102D92">
        <w:trPr>
          <w:gridAfter w:val="2"/>
          <w:wAfter w:w="529" w:type="dxa"/>
          <w:trHeight w:val="432"/>
        </w:trPr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14:paraId="583AB8FB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810" w:type="dxa"/>
          </w:tcPr>
          <w:p w14:paraId="5FD75E75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44F9035" w14:textId="77777777" w:rsidR="009C0FAB" w:rsidRDefault="009C0FAB" w:rsidP="007C37F2">
            <w:pPr>
              <w:rPr>
                <w:sz w:val="24"/>
              </w:rPr>
            </w:pPr>
          </w:p>
        </w:tc>
      </w:tr>
      <w:tr w:rsidR="009C0FAB" w14:paraId="58E21F85" w14:textId="77777777" w:rsidTr="00102D92">
        <w:trPr>
          <w:gridAfter w:val="2"/>
          <w:wAfter w:w="529" w:type="dxa"/>
          <w:trHeight w:val="251"/>
        </w:trPr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14:paraId="7C79007C" w14:textId="4995AE2E" w:rsidR="009C0FAB" w:rsidRDefault="006A4930" w:rsidP="006A4930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F77726">
              <w:rPr>
                <w:sz w:val="24"/>
              </w:rPr>
              <w:t xml:space="preserve">ssoc. </w:t>
            </w:r>
            <w:r>
              <w:rPr>
                <w:sz w:val="24"/>
              </w:rPr>
              <w:t>VP</w:t>
            </w:r>
            <w:r w:rsidR="009C0FAB">
              <w:rPr>
                <w:sz w:val="24"/>
              </w:rPr>
              <w:t xml:space="preserve"> </w:t>
            </w:r>
            <w:r>
              <w:rPr>
                <w:sz w:val="24"/>
              </w:rPr>
              <w:t>for Budget &amp; Finance</w:t>
            </w:r>
            <w:r w:rsidR="009302E3">
              <w:rPr>
                <w:sz w:val="24"/>
              </w:rPr>
              <w:t xml:space="preserve"> (to be reviewed in OK Corral)</w:t>
            </w:r>
          </w:p>
        </w:tc>
        <w:tc>
          <w:tcPr>
            <w:tcW w:w="810" w:type="dxa"/>
          </w:tcPr>
          <w:p w14:paraId="49148A9C" w14:textId="77777777" w:rsidR="009C0FAB" w:rsidRDefault="009C0FAB" w:rsidP="007C37F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4165C5D" w14:textId="77777777" w:rsidR="009C0FAB" w:rsidRDefault="009C0FAB" w:rsidP="007C37F2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5E012F2" w14:textId="77777777" w:rsidR="00102D92" w:rsidRDefault="00102D92" w:rsidP="008C1F63">
      <w:pPr>
        <w:spacing w:after="0" w:line="240" w:lineRule="auto"/>
        <w:rPr>
          <w:sz w:val="24"/>
        </w:rPr>
      </w:pPr>
    </w:p>
    <w:p w14:paraId="26320489" w14:textId="77777777" w:rsidR="00F77726" w:rsidRDefault="00F77726" w:rsidP="008C1F63">
      <w:pPr>
        <w:spacing w:after="0" w:line="240" w:lineRule="auto"/>
        <w:rPr>
          <w:sz w:val="24"/>
        </w:rPr>
      </w:pPr>
    </w:p>
    <w:p w14:paraId="15430837" w14:textId="77777777" w:rsidR="008C1F63" w:rsidRPr="007C37F2" w:rsidRDefault="008C1F63" w:rsidP="007C37F2">
      <w:pPr>
        <w:rPr>
          <w:sz w:val="24"/>
        </w:rPr>
      </w:pPr>
    </w:p>
    <w:sectPr w:rsidR="008C1F63" w:rsidRPr="007C37F2" w:rsidSect="00D8646C">
      <w:footerReference w:type="default" r:id="rId7"/>
      <w:pgSz w:w="12240" w:h="15840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6404" w14:textId="77777777" w:rsidR="00C46060" w:rsidRDefault="00C46060" w:rsidP="007C37F2">
      <w:pPr>
        <w:spacing w:after="0" w:line="240" w:lineRule="auto"/>
      </w:pPr>
      <w:r>
        <w:separator/>
      </w:r>
    </w:p>
  </w:endnote>
  <w:endnote w:type="continuationSeparator" w:id="0">
    <w:p w14:paraId="12019E43" w14:textId="77777777" w:rsidR="00C46060" w:rsidRDefault="00C46060" w:rsidP="007C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AF17" w14:textId="1CFA0645" w:rsidR="007C37F2" w:rsidRDefault="007C37F2">
    <w:pPr>
      <w:pStyle w:val="Footer"/>
    </w:pPr>
    <w:r>
      <w:t>Rev</w:t>
    </w:r>
    <w:r w:rsidR="009302E3">
      <w:t xml:space="preserve"> 2022.07.</w:t>
    </w:r>
    <w:r w:rsidR="00E7454A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D483" w14:textId="77777777" w:rsidR="00C46060" w:rsidRDefault="00C46060" w:rsidP="007C37F2">
      <w:pPr>
        <w:spacing w:after="0" w:line="240" w:lineRule="auto"/>
      </w:pPr>
      <w:r>
        <w:separator/>
      </w:r>
    </w:p>
  </w:footnote>
  <w:footnote w:type="continuationSeparator" w:id="0">
    <w:p w14:paraId="713C5DF3" w14:textId="77777777" w:rsidR="00C46060" w:rsidRDefault="00C46060" w:rsidP="007C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F5F"/>
    <w:multiLevelType w:val="hybridMultilevel"/>
    <w:tmpl w:val="F7E80A7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2085FAB"/>
    <w:multiLevelType w:val="hybridMultilevel"/>
    <w:tmpl w:val="BDC48D0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65F07EF"/>
    <w:multiLevelType w:val="hybridMultilevel"/>
    <w:tmpl w:val="0A7A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10DFD"/>
    <w:multiLevelType w:val="hybridMultilevel"/>
    <w:tmpl w:val="6C8A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6oPDNSMa5dMKH4G+e13O7FOP1na9Tb8MB11cmJC/3NFRDaF53y4GZrxLTzMBhUaFLUY7TV2DAqrfmv41PUIA==" w:salt="4kW9rscHyM4lNP3NgVfpx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F2"/>
    <w:rsid w:val="00102D92"/>
    <w:rsid w:val="0027427F"/>
    <w:rsid w:val="002B2983"/>
    <w:rsid w:val="00302968"/>
    <w:rsid w:val="006A4930"/>
    <w:rsid w:val="006D66D3"/>
    <w:rsid w:val="007A4B7E"/>
    <w:rsid w:val="007C37F2"/>
    <w:rsid w:val="00833D10"/>
    <w:rsid w:val="008906AE"/>
    <w:rsid w:val="008C1F63"/>
    <w:rsid w:val="008D6105"/>
    <w:rsid w:val="009302E3"/>
    <w:rsid w:val="00975859"/>
    <w:rsid w:val="00982A30"/>
    <w:rsid w:val="009C0FAB"/>
    <w:rsid w:val="00AE2D8D"/>
    <w:rsid w:val="00B40325"/>
    <w:rsid w:val="00B767E0"/>
    <w:rsid w:val="00BD01A6"/>
    <w:rsid w:val="00BE6206"/>
    <w:rsid w:val="00BF6EE4"/>
    <w:rsid w:val="00C46060"/>
    <w:rsid w:val="00D8646C"/>
    <w:rsid w:val="00DD12B0"/>
    <w:rsid w:val="00DE08C3"/>
    <w:rsid w:val="00E7454A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F2DC2B"/>
  <w15:docId w15:val="{57E4A9A0-D435-48EA-9456-E2D0E955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Continue"/>
    <w:next w:val="Normal"/>
    <w:link w:val="Heading2Char"/>
    <w:uiPriority w:val="9"/>
    <w:unhideWhenUsed/>
    <w:qFormat/>
    <w:rsid w:val="00F77726"/>
    <w:pPr>
      <w:keepNext/>
      <w:keepLines/>
      <w:spacing w:before="40" w:line="240" w:lineRule="auto"/>
      <w:ind w:left="288"/>
      <w:outlineLvl w:val="1"/>
    </w:pPr>
    <w:rPr>
      <w:rFonts w:asciiTheme="majorHAnsi" w:eastAsiaTheme="majorEastAsia" w:hAnsiTheme="majorHAnsi" w:cstheme="majorBidi"/>
      <w:b/>
      <w:color w:val="31849B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F2"/>
  </w:style>
  <w:style w:type="paragraph" w:styleId="Footer">
    <w:name w:val="footer"/>
    <w:basedOn w:val="Normal"/>
    <w:link w:val="FooterChar"/>
    <w:uiPriority w:val="99"/>
    <w:unhideWhenUsed/>
    <w:rsid w:val="007C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F2"/>
  </w:style>
  <w:style w:type="character" w:customStyle="1" w:styleId="Heading2Char">
    <w:name w:val="Heading 2 Char"/>
    <w:basedOn w:val="DefaultParagraphFont"/>
    <w:link w:val="Heading2"/>
    <w:uiPriority w:val="9"/>
    <w:rsid w:val="00F77726"/>
    <w:rPr>
      <w:rFonts w:asciiTheme="majorHAnsi" w:eastAsiaTheme="majorEastAsia" w:hAnsiTheme="majorHAnsi" w:cstheme="majorBidi"/>
      <w:b/>
      <w:color w:val="31849B" w:themeColor="accent5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77726"/>
    <w:pPr>
      <w:spacing w:after="0" w:line="240" w:lineRule="auto"/>
      <w:ind w:left="288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77726"/>
    <w:pPr>
      <w:spacing w:after="120"/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Brown, Brandi</cp:lastModifiedBy>
  <cp:revision>3</cp:revision>
  <dcterms:created xsi:type="dcterms:W3CDTF">2022-07-25T22:01:00Z</dcterms:created>
  <dcterms:modified xsi:type="dcterms:W3CDTF">2022-07-25T22:02:00Z</dcterms:modified>
</cp:coreProperties>
</file>